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华文中宋" w:cs="Times New Roman"/>
          <w:b/>
          <w:sz w:val="30"/>
          <w:szCs w:val="30"/>
        </w:rPr>
      </w:pPr>
      <w:r>
        <w:rPr>
          <w:rFonts w:hint="default" w:ascii="Times New Roman" w:hAnsi="Times New Roman" w:eastAsia="华文中宋" w:cs="Times New Roman"/>
          <w:b/>
          <w:sz w:val="30"/>
          <w:szCs w:val="30"/>
        </w:rPr>
        <w:t>浙江大学学生代表大会提案指导性案例1</w:t>
      </w:r>
    </w:p>
    <w:p>
      <w:pPr>
        <w:jc w:val="center"/>
        <w:rPr>
          <w:rFonts w:hint="default" w:ascii="Times New Roman" w:hAnsi="Times New Roman" w:eastAsia="华文中宋" w:cs="Times New Roman"/>
          <w:b/>
          <w:sz w:val="30"/>
          <w:szCs w:val="30"/>
          <w:u w:val="none"/>
        </w:rPr>
      </w:pPr>
      <w:r>
        <w:rPr>
          <w:rFonts w:hint="default" w:ascii="Times New Roman" w:hAnsi="Times New Roman" w:eastAsia="华文中宋" w:cs="Times New Roman"/>
          <w:b/>
          <w:sz w:val="30"/>
          <w:szCs w:val="30"/>
        </w:rPr>
        <w:t>(</w:t>
      </w:r>
      <w:r>
        <w:rPr>
          <w:rFonts w:hint="default" w:ascii="Times New Roman" w:hAnsi="Times New Roman" w:eastAsia="华文中宋" w:cs="Times New Roman"/>
          <w:b/>
          <w:sz w:val="30"/>
          <w:szCs w:val="30"/>
          <w:u w:val="none"/>
        </w:rPr>
        <w:t>一事一案、符合广大同学意愿，予以立案)</w:t>
      </w:r>
    </w:p>
    <w:p>
      <w:pPr>
        <w:spacing w:line="360"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编号： </w:t>
      </w:r>
      <w:r>
        <w:rPr>
          <w:rFonts w:hint="default" w:ascii="Times New Roman" w:hAnsi="Times New Roman" w:cs="Times New Roman"/>
          <w:sz w:val="24"/>
        </w:rPr>
        <w:t xml:space="preserve"> 1-1                           </w:t>
      </w:r>
      <w:r>
        <w:rPr>
          <w:rFonts w:hint="default" w:ascii="Times New Roman" w:hAnsi="Times New Roman" w:eastAsia="仿宋_GB2312" w:cs="Times New Roman"/>
          <w:sz w:val="24"/>
          <w:szCs w:val="24"/>
        </w:rPr>
        <w:t>提案日期：  202</w:t>
      </w:r>
      <w:r>
        <w:rPr>
          <w:rFonts w:hint="eastAsia" w:ascii="Times New Roman" w:hAnsi="Times New Roman" w:eastAsia="仿宋_GB2312" w:cs="Times New Roman"/>
          <w:sz w:val="24"/>
          <w:szCs w:val="24"/>
          <w:lang w:val="en-US" w:eastAsia="zh-CN"/>
        </w:rPr>
        <w:t>4</w:t>
      </w:r>
      <w:r>
        <w:rPr>
          <w:rFonts w:hint="default" w:ascii="Times New Roman" w:hAnsi="Times New Roman" w:eastAsia="仿宋_GB2312" w:cs="Times New Roman"/>
          <w:sz w:val="24"/>
          <w:szCs w:val="24"/>
        </w:rPr>
        <w:t xml:space="preserve">年  </w:t>
      </w:r>
      <w:r>
        <w:rPr>
          <w:rFonts w:hint="eastAsia" w:ascii="Times New Roman" w:hAnsi="Times New Roman" w:eastAsia="仿宋_GB2312" w:cs="Times New Roman"/>
          <w:sz w:val="24"/>
          <w:szCs w:val="24"/>
          <w:lang w:val="en-US" w:eastAsia="zh-CN"/>
        </w:rPr>
        <w:t>4</w:t>
      </w:r>
      <w:r>
        <w:rPr>
          <w:rFonts w:hint="default" w:ascii="Times New Roman" w:hAnsi="Times New Roman" w:eastAsia="仿宋_GB2312" w:cs="Times New Roman"/>
          <w:sz w:val="24"/>
          <w:szCs w:val="24"/>
        </w:rPr>
        <w:t xml:space="preserve"> 月  2</w:t>
      </w:r>
      <w:r>
        <w:rPr>
          <w:rFonts w:hint="eastAsia" w:ascii="Times New Roman" w:hAnsi="Times New Roman" w:eastAsia="仿宋_GB2312" w:cs="Times New Roman"/>
          <w:sz w:val="24"/>
          <w:szCs w:val="24"/>
          <w:lang w:val="en-US" w:eastAsia="zh-CN"/>
        </w:rPr>
        <w:t>0</w:t>
      </w:r>
      <w:r>
        <w:rPr>
          <w:rFonts w:hint="default" w:ascii="Times New Roman" w:hAnsi="Times New Roman" w:eastAsia="仿宋_GB2312" w:cs="Times New Roman"/>
          <w:sz w:val="24"/>
          <w:szCs w:val="24"/>
        </w:rPr>
        <w:t xml:space="preserve">日 </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59"/>
        <w:gridCol w:w="1559"/>
        <w:gridCol w:w="2126"/>
        <w:gridCol w:w="382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959" w:type="dxa"/>
            <w:vMerge w:val="restart"/>
            <w:vAlign w:val="center"/>
          </w:tcPr>
          <w:p>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提案人</w:t>
            </w:r>
          </w:p>
        </w:tc>
        <w:tc>
          <w:tcPr>
            <w:tcW w:w="1559" w:type="dxa"/>
            <w:vAlign w:val="center"/>
          </w:tcPr>
          <w:p>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姓名</w:t>
            </w:r>
          </w:p>
        </w:tc>
        <w:tc>
          <w:tcPr>
            <w:tcW w:w="2126" w:type="dxa"/>
            <w:vAlign w:val="center"/>
          </w:tcPr>
          <w:p>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所属代表团</w:t>
            </w:r>
          </w:p>
        </w:tc>
        <w:tc>
          <w:tcPr>
            <w:tcW w:w="3828" w:type="dxa"/>
            <w:vAlign w:val="center"/>
          </w:tcPr>
          <w:p>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联系方式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959" w:type="dxa"/>
            <w:vMerge w:val="continue"/>
            <w:vAlign w:val="center"/>
          </w:tcPr>
          <w:p>
            <w:pPr>
              <w:jc w:val="center"/>
              <w:rPr>
                <w:rFonts w:hint="default" w:ascii="Times New Roman" w:hAnsi="Times New Roman" w:eastAsia="仿宋_GB2312" w:cs="Times New Roman"/>
                <w:sz w:val="22"/>
                <w:szCs w:val="24"/>
              </w:rPr>
            </w:pPr>
          </w:p>
        </w:tc>
        <w:tc>
          <w:tcPr>
            <w:tcW w:w="1559" w:type="dxa"/>
            <w:vAlign w:val="center"/>
          </w:tcPr>
          <w:p>
            <w:pPr>
              <w:jc w:val="center"/>
              <w:rPr>
                <w:rFonts w:hint="default" w:ascii="Times New Roman" w:hAnsi="Times New Roman" w:eastAsia="仿宋_GB2312" w:cs="Times New Roman"/>
                <w:szCs w:val="24"/>
              </w:rPr>
            </w:pPr>
            <w:r>
              <w:rPr>
                <w:rFonts w:hint="default" w:ascii="Times New Roman" w:hAnsi="Times New Roman" w:eastAsia="仿宋_GB2312" w:cs="Times New Roman"/>
                <w:szCs w:val="24"/>
              </w:rPr>
              <w:t>小浙</w:t>
            </w:r>
          </w:p>
        </w:tc>
        <w:tc>
          <w:tcPr>
            <w:tcW w:w="2126" w:type="dxa"/>
            <w:vAlign w:val="center"/>
          </w:tcPr>
          <w:p>
            <w:pPr>
              <w:jc w:val="center"/>
              <w:rPr>
                <w:rFonts w:hint="default" w:ascii="Times New Roman" w:hAnsi="Times New Roman" w:eastAsia="仿宋_GB2312" w:cs="Times New Roman"/>
                <w:szCs w:val="24"/>
              </w:rPr>
            </w:pPr>
            <w:r>
              <w:rPr>
                <w:rFonts w:hint="default" w:ascii="Times New Roman" w:hAnsi="Times New Roman" w:eastAsia="仿宋_GB2312" w:cs="Times New Roman"/>
                <w:szCs w:val="24"/>
              </w:rPr>
              <w:t>文学院</w:t>
            </w:r>
          </w:p>
        </w:tc>
        <w:tc>
          <w:tcPr>
            <w:tcW w:w="3828" w:type="dxa"/>
            <w:vAlign w:val="center"/>
          </w:tcPr>
          <w:p>
            <w:pPr>
              <w:jc w:val="center"/>
              <w:rPr>
                <w:rFonts w:hint="default" w:ascii="Times New Roman" w:hAnsi="Times New Roman" w:eastAsia="仿宋_GB2312" w:cs="Times New Roman"/>
                <w:szCs w:val="24"/>
                <w:lang w:eastAsia="zh-Hans"/>
              </w:rPr>
            </w:pPr>
            <w:r>
              <w:rPr>
                <w:rFonts w:hint="default" w:ascii="Times New Roman" w:hAnsi="Times New Roman" w:eastAsia="仿宋_GB2312" w:cs="Times New Roman"/>
                <w:szCs w:val="24"/>
              </w:rPr>
              <w:t>130</w:t>
            </w:r>
            <w:r>
              <w:rPr>
                <w:rFonts w:hint="default" w:ascii="Times New Roman" w:hAnsi="Times New Roman" w:eastAsia="仿宋_GB2312" w:cs="Times New Roman"/>
                <w:szCs w:val="24"/>
                <w:lang w:val="en-US" w:eastAsia="zh-Hans"/>
              </w:rPr>
              <w:t>xxxx</w:t>
            </w:r>
            <w:r>
              <w:rPr>
                <w:rFonts w:hint="default" w:ascii="Times New Roman" w:hAnsi="Times New Roman" w:eastAsia="仿宋_GB2312" w:cs="Times New Roman"/>
                <w:szCs w:val="24"/>
                <w:lang w:eastAsia="zh-Hans"/>
              </w:rPr>
              <w:t>xxxx</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959" w:type="dxa"/>
            <w:vMerge w:val="restart"/>
            <w:vAlign w:val="center"/>
          </w:tcPr>
          <w:p>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附议人</w:t>
            </w:r>
          </w:p>
        </w:tc>
        <w:tc>
          <w:tcPr>
            <w:tcW w:w="1559" w:type="dxa"/>
            <w:vAlign w:val="center"/>
          </w:tcPr>
          <w:p>
            <w:pPr>
              <w:jc w:val="center"/>
              <w:rPr>
                <w:rFonts w:hint="default" w:ascii="Times New Roman" w:hAnsi="Times New Roman" w:eastAsia="仿宋_GB2312" w:cs="Times New Roman"/>
                <w:szCs w:val="24"/>
              </w:rPr>
            </w:pPr>
          </w:p>
        </w:tc>
        <w:tc>
          <w:tcPr>
            <w:tcW w:w="2126" w:type="dxa"/>
            <w:vAlign w:val="center"/>
          </w:tcPr>
          <w:p>
            <w:pPr>
              <w:jc w:val="center"/>
              <w:rPr>
                <w:rFonts w:hint="default" w:ascii="Times New Roman" w:hAnsi="Times New Roman" w:eastAsia="仿宋_GB2312" w:cs="Times New Roman"/>
                <w:szCs w:val="24"/>
              </w:rPr>
            </w:pPr>
          </w:p>
        </w:tc>
        <w:tc>
          <w:tcPr>
            <w:tcW w:w="3828" w:type="dxa"/>
            <w:vAlign w:val="center"/>
          </w:tcPr>
          <w:p>
            <w:pPr>
              <w:jc w:val="center"/>
              <w:rPr>
                <w:rFonts w:hint="default" w:ascii="Times New Roman" w:hAnsi="Times New Roman" w:eastAsia="仿宋_GB2312" w:cs="Times New Roman"/>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959" w:type="dxa"/>
            <w:vMerge w:val="continue"/>
            <w:vAlign w:val="center"/>
          </w:tcPr>
          <w:p>
            <w:pPr>
              <w:jc w:val="center"/>
              <w:rPr>
                <w:rFonts w:hint="default" w:ascii="Times New Roman" w:hAnsi="Times New Roman" w:eastAsia="仿宋_GB2312" w:cs="Times New Roman"/>
                <w:sz w:val="22"/>
                <w:szCs w:val="24"/>
              </w:rPr>
            </w:pPr>
          </w:p>
        </w:tc>
        <w:tc>
          <w:tcPr>
            <w:tcW w:w="1559" w:type="dxa"/>
            <w:vAlign w:val="center"/>
          </w:tcPr>
          <w:p>
            <w:pPr>
              <w:jc w:val="center"/>
              <w:rPr>
                <w:rFonts w:hint="default" w:ascii="Times New Roman" w:hAnsi="Times New Roman" w:eastAsia="仿宋_GB2312" w:cs="Times New Roman"/>
                <w:szCs w:val="24"/>
              </w:rPr>
            </w:pPr>
          </w:p>
        </w:tc>
        <w:tc>
          <w:tcPr>
            <w:tcW w:w="2126" w:type="dxa"/>
            <w:vAlign w:val="center"/>
          </w:tcPr>
          <w:p>
            <w:pPr>
              <w:jc w:val="center"/>
              <w:rPr>
                <w:rFonts w:hint="default" w:ascii="Times New Roman" w:hAnsi="Times New Roman" w:eastAsia="仿宋_GB2312" w:cs="Times New Roman"/>
                <w:szCs w:val="24"/>
              </w:rPr>
            </w:pPr>
          </w:p>
        </w:tc>
        <w:tc>
          <w:tcPr>
            <w:tcW w:w="3828" w:type="dxa"/>
            <w:vAlign w:val="center"/>
          </w:tcPr>
          <w:p>
            <w:pPr>
              <w:jc w:val="center"/>
              <w:rPr>
                <w:rFonts w:hint="default" w:ascii="Times New Roman" w:hAnsi="Times New Roman" w:eastAsia="仿宋_GB2312" w:cs="Times New Roman"/>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959" w:type="dxa"/>
            <w:vMerge w:val="continue"/>
            <w:vAlign w:val="center"/>
          </w:tcPr>
          <w:p>
            <w:pPr>
              <w:jc w:val="center"/>
              <w:rPr>
                <w:rFonts w:hint="default" w:ascii="Times New Roman" w:hAnsi="Times New Roman" w:eastAsia="仿宋_GB2312" w:cs="Times New Roman"/>
                <w:sz w:val="22"/>
                <w:szCs w:val="24"/>
              </w:rPr>
            </w:pPr>
          </w:p>
        </w:tc>
        <w:tc>
          <w:tcPr>
            <w:tcW w:w="1559" w:type="dxa"/>
            <w:vAlign w:val="center"/>
          </w:tcPr>
          <w:p>
            <w:pPr>
              <w:jc w:val="center"/>
              <w:rPr>
                <w:rFonts w:hint="default" w:ascii="Times New Roman" w:hAnsi="Times New Roman" w:eastAsia="仿宋_GB2312" w:cs="Times New Roman"/>
                <w:szCs w:val="24"/>
              </w:rPr>
            </w:pPr>
          </w:p>
        </w:tc>
        <w:tc>
          <w:tcPr>
            <w:tcW w:w="2126" w:type="dxa"/>
            <w:vAlign w:val="center"/>
          </w:tcPr>
          <w:p>
            <w:pPr>
              <w:jc w:val="center"/>
              <w:rPr>
                <w:rFonts w:hint="default" w:ascii="Times New Roman" w:hAnsi="Times New Roman" w:eastAsia="仿宋_GB2312" w:cs="Times New Roman"/>
                <w:szCs w:val="24"/>
              </w:rPr>
            </w:pPr>
          </w:p>
        </w:tc>
        <w:tc>
          <w:tcPr>
            <w:tcW w:w="3828" w:type="dxa"/>
            <w:vAlign w:val="center"/>
          </w:tcPr>
          <w:p>
            <w:pPr>
              <w:jc w:val="center"/>
              <w:rPr>
                <w:rFonts w:hint="default" w:ascii="Times New Roman" w:hAnsi="Times New Roman" w:eastAsia="仿宋_GB2312" w:cs="Times New Roman"/>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959" w:type="dxa"/>
            <w:vAlign w:val="center"/>
          </w:tcPr>
          <w:p>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案名</w:t>
            </w:r>
          </w:p>
        </w:tc>
        <w:tc>
          <w:tcPr>
            <w:tcW w:w="7513" w:type="dxa"/>
            <w:gridSpan w:val="3"/>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Cs w:val="24"/>
                <w:shd w:val="clear" w:color="auto" w:fill="FFFFFF"/>
              </w:rPr>
              <w:t>关于改善浙江大学紫金港校区学习讨论区的提案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5" w:hRule="atLeast"/>
          <w:jc w:val="center"/>
        </w:trPr>
        <w:tc>
          <w:tcPr>
            <w:tcW w:w="959" w:type="dxa"/>
            <w:vAlign w:val="center"/>
          </w:tcPr>
          <w:p>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案</w:t>
            </w:r>
          </w:p>
          <w:p>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由</w:t>
            </w:r>
          </w:p>
        </w:tc>
        <w:tc>
          <w:tcPr>
            <w:tcW w:w="7513" w:type="dxa"/>
            <w:gridSpan w:val="3"/>
          </w:tcPr>
          <w:p>
            <w:pPr>
              <w:ind w:firstLine="420" w:firstLineChars="200"/>
              <w:rPr>
                <w:rFonts w:hint="default" w:ascii="Times New Roman" w:hAnsi="Times New Roman" w:eastAsia="仿宋_GB2312" w:cs="Times New Roman"/>
                <w:szCs w:val="21"/>
                <w:shd w:val="clear" w:color="auto" w:fill="FFFFFF"/>
              </w:rPr>
            </w:pPr>
          </w:p>
          <w:p>
            <w:pPr>
              <w:ind w:firstLine="420" w:firstLineChars="200"/>
              <w:rPr>
                <w:rFonts w:hint="default" w:ascii="Times New Roman" w:hAnsi="Times New Roman" w:eastAsia="仿宋_GB2312" w:cs="Times New Roman"/>
                <w:szCs w:val="21"/>
                <w:shd w:val="clear" w:color="auto" w:fill="FFFFFF"/>
              </w:rPr>
            </w:pPr>
            <w:r>
              <w:rPr>
                <w:rFonts w:hint="default" w:ascii="Times New Roman" w:hAnsi="Times New Roman" w:eastAsia="仿宋_GB2312" w:cs="Times New Roman"/>
                <w:szCs w:val="21"/>
                <w:shd w:val="clear" w:color="auto" w:fill="FFFFFF"/>
              </w:rPr>
              <w:t>“国有成均，在浙之滨”。今天的浙江大学，正在努力建设世界一流的综合型、研究型、创新型大学。而一所优秀的一流大学除了在师资力量、学生质量等方面有优势以外，其学校的基础设施建设也是不容忽视的。讨论区能够给大学生提供自主交流，能够培养大学生自主学习与合作交流能力，无疑是基础设施建设的一个重要部分。然而相比其他高校，浙江大学紫金港校区现有的学习讨论区仍存在着以下方面的不足：</w:t>
            </w:r>
          </w:p>
          <w:p>
            <w:pPr>
              <w:tabs>
                <w:tab w:val="center" w:pos="3888"/>
              </w:tabs>
              <w:ind w:firstLine="422" w:firstLineChars="200"/>
              <w:rPr>
                <w:rFonts w:hint="default" w:ascii="Times New Roman" w:hAnsi="Times New Roman" w:eastAsia="仿宋_GB2312" w:cs="Times New Roman"/>
                <w:b/>
                <w:szCs w:val="21"/>
                <w:shd w:val="clear" w:color="auto" w:fill="FFFFFF"/>
              </w:rPr>
            </w:pPr>
            <w:r>
              <w:rPr>
                <w:rFonts w:hint="default" w:ascii="Times New Roman" w:hAnsi="Times New Roman" w:eastAsia="仿宋_GB2312" w:cs="Times New Roman"/>
                <w:b/>
                <w:szCs w:val="21"/>
                <w:shd w:val="clear" w:color="auto" w:fill="FFFFFF"/>
              </w:rPr>
              <w:t>1.学习讨论区数量不足</w:t>
            </w:r>
          </w:p>
          <w:p>
            <w:pPr>
              <w:ind w:firstLine="420" w:firstLineChars="200"/>
              <w:rPr>
                <w:rFonts w:hint="default" w:ascii="Times New Roman" w:hAnsi="Times New Roman" w:eastAsia="仿宋_GB2312" w:cs="Times New Roman"/>
                <w:szCs w:val="21"/>
                <w:shd w:val="clear" w:color="auto" w:fill="FFFFFF"/>
              </w:rPr>
            </w:pPr>
            <w:r>
              <w:rPr>
                <w:rFonts w:hint="default" w:ascii="Times New Roman" w:hAnsi="Times New Roman" w:eastAsia="仿宋_GB2312" w:cs="Times New Roman"/>
                <w:szCs w:val="21"/>
                <w:shd w:val="clear" w:color="auto" w:fill="FFFFFF"/>
              </w:rPr>
              <w:t>学习讨论区的数量不能够满足全校师生的需求，主要原因在于由于白天有日常的课程，讨论的时间段较为集中。主要为晚上9点到晚上11点，部分区域的开放时间仅到10点30分。另外有部分区域由于借用程序麻烦或者场地大小环境等原因，利用率极低。导致学习讨论区使用紧张的情况。</w:t>
            </w:r>
          </w:p>
          <w:p>
            <w:pPr>
              <w:ind w:firstLine="422" w:firstLineChars="200"/>
              <w:rPr>
                <w:rFonts w:hint="default" w:ascii="Times New Roman" w:hAnsi="Times New Roman" w:eastAsia="仿宋_GB2312" w:cs="Times New Roman"/>
                <w:b/>
                <w:szCs w:val="21"/>
                <w:shd w:val="clear" w:color="auto" w:fill="FFFFFF"/>
              </w:rPr>
            </w:pPr>
            <w:r>
              <w:rPr>
                <w:rFonts w:hint="default" w:ascii="Times New Roman" w:hAnsi="Times New Roman" w:eastAsia="仿宋_GB2312" w:cs="Times New Roman"/>
                <w:b/>
                <w:szCs w:val="21"/>
                <w:shd w:val="clear" w:color="auto" w:fill="FFFFFF"/>
              </w:rPr>
              <w:t>2.部分区域配套设施不全</w:t>
            </w:r>
          </w:p>
          <w:p>
            <w:pPr>
              <w:ind w:firstLine="420" w:firstLineChars="200"/>
              <w:rPr>
                <w:rFonts w:hint="default" w:ascii="Times New Roman" w:hAnsi="Times New Roman" w:eastAsia="仿宋_GB2312" w:cs="Times New Roman"/>
                <w:szCs w:val="21"/>
                <w:shd w:val="clear" w:color="auto" w:fill="FFFFFF"/>
              </w:rPr>
            </w:pPr>
            <w:r>
              <w:rPr>
                <w:rFonts w:hint="default" w:ascii="Times New Roman" w:hAnsi="Times New Roman" w:eastAsia="仿宋_GB2312" w:cs="Times New Roman"/>
                <w:szCs w:val="21"/>
                <w:shd w:val="clear" w:color="auto" w:fill="FFFFFF"/>
              </w:rPr>
              <w:t>学习讨论区的配套设施差异极大，有些地方配备电脑话筒投影仪，有些地方则桌椅都未配备齐全。经过调查研究，宿舍一楼大厅、小剧场二楼讨论区、月牙楼一楼桌椅数量不足，且学习讨论区的配套设施不能满足实际需求，大部分讨论区都未配备电脑等常用设备。另外缺乏相关的设施，如插座、黑板等</w:t>
            </w:r>
          </w:p>
          <w:p>
            <w:pPr>
              <w:ind w:firstLine="422" w:firstLineChars="200"/>
              <w:rPr>
                <w:rFonts w:hint="default" w:ascii="Times New Roman" w:hAnsi="Times New Roman" w:eastAsia="仿宋_GB2312" w:cs="Times New Roman"/>
                <w:b/>
                <w:szCs w:val="21"/>
                <w:shd w:val="clear" w:color="auto" w:fill="FFFFFF"/>
              </w:rPr>
            </w:pPr>
            <w:r>
              <w:rPr>
                <w:rFonts w:hint="default" w:ascii="Times New Roman" w:hAnsi="Times New Roman" w:eastAsia="仿宋_GB2312" w:cs="Times New Roman"/>
                <w:b/>
                <w:szCs w:val="21"/>
                <w:shd w:val="clear" w:color="auto" w:fill="FFFFFF"/>
              </w:rPr>
              <w:t>3.部分区域相互干扰性大</w:t>
            </w:r>
          </w:p>
          <w:p>
            <w:pPr>
              <w:ind w:firstLine="420" w:firstLineChars="200"/>
              <w:rPr>
                <w:rFonts w:hint="default" w:ascii="Times New Roman" w:hAnsi="Times New Roman" w:eastAsia="仿宋_GB2312" w:cs="Times New Roman"/>
                <w:szCs w:val="21"/>
                <w:shd w:val="clear" w:color="auto" w:fill="FFFFFF"/>
              </w:rPr>
            </w:pPr>
            <w:r>
              <w:rPr>
                <w:rFonts w:hint="default" w:ascii="Times New Roman" w:hAnsi="Times New Roman" w:eastAsia="仿宋_GB2312" w:cs="Times New Roman"/>
                <w:szCs w:val="21"/>
                <w:shd w:val="clear" w:color="auto" w:fill="FFFFFF"/>
              </w:rPr>
              <w:t>部分学习讨论区的开放程度大，互相之间没有明显的分割，造成相互之间的干扰性较大。宿舍一楼大厅、小剧场二楼讨论区、月牙楼一楼、食堂环境过于嘈杂，相互之间的干扰极大，环境极其不适合讨论。</w:t>
            </w:r>
          </w:p>
          <w:p>
            <w:pPr>
              <w:ind w:firstLine="422" w:firstLineChars="200"/>
              <w:rPr>
                <w:rFonts w:hint="default" w:ascii="Times New Roman" w:hAnsi="Times New Roman" w:eastAsia="仿宋_GB2312" w:cs="Times New Roman"/>
                <w:b/>
                <w:szCs w:val="21"/>
                <w:shd w:val="clear" w:color="auto" w:fill="FFFFFF"/>
              </w:rPr>
            </w:pPr>
            <w:r>
              <w:rPr>
                <w:rFonts w:hint="default" w:ascii="Times New Roman" w:hAnsi="Times New Roman" w:eastAsia="仿宋_GB2312" w:cs="Times New Roman"/>
                <w:b/>
                <w:szCs w:val="21"/>
                <w:shd w:val="clear" w:color="auto" w:fill="FFFFFF"/>
              </w:rPr>
              <w:t>4.部分区域功能混乱</w:t>
            </w:r>
          </w:p>
          <w:p>
            <w:pPr>
              <w:ind w:firstLine="420" w:firstLineChars="200"/>
              <w:rPr>
                <w:rFonts w:hint="default" w:ascii="Times New Roman" w:hAnsi="Times New Roman" w:eastAsia="仿宋_GB2312" w:cs="Times New Roman"/>
                <w:szCs w:val="21"/>
                <w:shd w:val="clear" w:color="auto" w:fill="FFFFFF"/>
              </w:rPr>
            </w:pPr>
            <w:r>
              <w:rPr>
                <w:rFonts w:hint="default" w:ascii="Times New Roman" w:hAnsi="Times New Roman" w:eastAsia="仿宋_GB2312" w:cs="Times New Roman"/>
                <w:szCs w:val="21"/>
                <w:shd w:val="clear" w:color="auto" w:fill="FFFFFF"/>
              </w:rPr>
              <w:t>部分区域功能混乱，例如食堂本身的用途并非是自习讨论，而如今由于客观条件的限制，造成了同一区域进餐与学习讨论同时进行的尴尬局面。而诸如东区长廊的桌椅时而用作自习，时而用作讨论，职能定位不清晰。</w:t>
            </w:r>
          </w:p>
          <w:p>
            <w:pPr>
              <w:ind w:firstLine="422" w:firstLineChars="200"/>
              <w:rPr>
                <w:rFonts w:hint="default" w:ascii="Times New Roman" w:hAnsi="Times New Roman" w:eastAsia="仿宋_GB2312" w:cs="Times New Roman"/>
                <w:b/>
                <w:szCs w:val="21"/>
                <w:shd w:val="clear" w:color="auto" w:fill="FFFFFF"/>
              </w:rPr>
            </w:pPr>
            <w:r>
              <w:rPr>
                <w:rFonts w:hint="default" w:ascii="Times New Roman" w:hAnsi="Times New Roman" w:eastAsia="仿宋_GB2312" w:cs="Times New Roman"/>
                <w:b/>
                <w:szCs w:val="21"/>
                <w:shd w:val="clear" w:color="auto" w:fill="FFFFFF"/>
              </w:rPr>
              <w:t>5.部分区域的大小设置不合理</w:t>
            </w:r>
          </w:p>
          <w:p>
            <w:pPr>
              <w:ind w:firstLine="420" w:firstLineChars="200"/>
              <w:rPr>
                <w:rFonts w:hint="default" w:ascii="Times New Roman" w:hAnsi="Times New Roman" w:eastAsia="仿宋_GB2312" w:cs="Times New Roman"/>
                <w:szCs w:val="21"/>
                <w:shd w:val="clear" w:color="auto" w:fill="FFFFFF"/>
              </w:rPr>
            </w:pPr>
            <w:r>
              <w:rPr>
                <w:rFonts w:hint="default" w:ascii="Times New Roman" w:hAnsi="Times New Roman" w:eastAsia="仿宋_GB2312" w:cs="Times New Roman"/>
                <w:szCs w:val="21"/>
                <w:shd w:val="clear" w:color="auto" w:fill="FFFFFF"/>
              </w:rPr>
              <w:t>部分区域的大小设置不合理，学校设置学习讨论区的时候没有根据实际情况合理规划，导致有些讨论区过大有些讨论区则过小。比如小剧场二楼的讨论区对于社团部门而言显得有些拥挤，而对于学习小组的讨论又有些过大。</w:t>
            </w:r>
          </w:p>
          <w:p>
            <w:pPr>
              <w:ind w:firstLine="422" w:firstLineChars="200"/>
              <w:rPr>
                <w:rFonts w:hint="default" w:ascii="Times New Roman" w:hAnsi="Times New Roman" w:eastAsia="仿宋_GB2312" w:cs="Times New Roman"/>
                <w:b/>
                <w:szCs w:val="21"/>
                <w:shd w:val="clear" w:color="auto" w:fill="FFFFFF"/>
              </w:rPr>
            </w:pPr>
            <w:r>
              <w:rPr>
                <w:rFonts w:hint="default" w:ascii="Times New Roman" w:hAnsi="Times New Roman" w:eastAsia="仿宋_GB2312" w:cs="Times New Roman"/>
                <w:b/>
                <w:szCs w:val="21"/>
                <w:shd w:val="clear" w:color="auto" w:fill="FFFFFF"/>
              </w:rPr>
              <w:t>6.学习讨论区的配套设施需要升级</w:t>
            </w:r>
          </w:p>
          <w:p>
            <w:pPr>
              <w:ind w:firstLine="420" w:firstLineChars="200"/>
              <w:contextualSpacing/>
              <w:rPr>
                <w:rFonts w:hint="default" w:ascii="Times New Roman" w:hAnsi="Times New Roman" w:eastAsia="仿宋_GB2312" w:cs="Times New Roman"/>
                <w:szCs w:val="21"/>
                <w:shd w:val="clear" w:color="auto" w:fill="FFFFFF"/>
              </w:rPr>
            </w:pPr>
            <w:r>
              <w:rPr>
                <w:rFonts w:hint="default" w:ascii="Times New Roman" w:hAnsi="Times New Roman" w:eastAsia="仿宋_GB2312" w:cs="Times New Roman"/>
                <w:szCs w:val="21"/>
                <w:shd w:val="clear" w:color="auto" w:fill="FFFFFF"/>
              </w:rPr>
              <w:t>学习讨论区是学生们用于学习交流、讨论的重要的活动场所，需要完备的配套设施。现在存在着桌椅高度设置不合理、缺少配套的投影仪、无饮食提供等问题。为了给学生们提供一个更加完美高级的学习讨论区，需要解决上述问题，需要对浙江大学现有学习讨论区的配套设备进行升级更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60" w:hRule="atLeast"/>
          <w:jc w:val="center"/>
        </w:trPr>
        <w:tc>
          <w:tcPr>
            <w:tcW w:w="959" w:type="dxa"/>
            <w:vAlign w:val="center"/>
          </w:tcPr>
          <w:p>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具</w:t>
            </w:r>
          </w:p>
          <w:p>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体</w:t>
            </w:r>
          </w:p>
          <w:p>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建</w:t>
            </w:r>
          </w:p>
          <w:p>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议</w:t>
            </w:r>
          </w:p>
        </w:tc>
        <w:tc>
          <w:tcPr>
            <w:tcW w:w="7513" w:type="dxa"/>
            <w:gridSpan w:val="3"/>
          </w:tcPr>
          <w:p>
            <w:pPr>
              <w:pStyle w:val="8"/>
              <w:jc w:val="left"/>
              <w:rPr>
                <w:rFonts w:hint="default" w:ascii="Times New Roman" w:hAnsi="Times New Roman" w:eastAsia="仿宋_GB2312" w:cs="Times New Roman"/>
                <w:b/>
                <w:szCs w:val="21"/>
              </w:rPr>
            </w:pPr>
            <w:r>
              <w:rPr>
                <w:rFonts w:hint="default" w:ascii="Times New Roman" w:hAnsi="Times New Roman" w:eastAsia="仿宋_GB2312" w:cs="Times New Roman"/>
                <w:b/>
                <w:szCs w:val="21"/>
              </w:rPr>
              <w:t>一、现有讨论区环境的改善</w:t>
            </w:r>
          </w:p>
          <w:p>
            <w:pPr>
              <w:pStyle w:val="8"/>
              <w:jc w:val="left"/>
              <w:rPr>
                <w:rFonts w:hint="default" w:ascii="Times New Roman" w:hAnsi="Times New Roman" w:eastAsia="仿宋_GB2312" w:cs="Times New Roman"/>
                <w:b/>
                <w:szCs w:val="21"/>
              </w:rPr>
            </w:pPr>
            <w:r>
              <w:rPr>
                <w:rFonts w:hint="default" w:ascii="Times New Roman" w:hAnsi="Times New Roman" w:eastAsia="仿宋_GB2312" w:cs="Times New Roman"/>
                <w:b/>
                <w:szCs w:val="21"/>
              </w:rPr>
              <w:t>1</w:t>
            </w:r>
            <w:r>
              <w:rPr>
                <w:rFonts w:hint="default" w:ascii="Times New Roman" w:hAnsi="Times New Roman" w:eastAsia="仿宋_GB2312" w:cs="Times New Roman"/>
                <w:b/>
                <w:szCs w:val="21"/>
                <w:shd w:val="clear" w:color="auto" w:fill="FFFFFF"/>
              </w:rPr>
              <w:t>.</w:t>
            </w:r>
            <w:r>
              <w:rPr>
                <w:rFonts w:hint="default" w:ascii="Times New Roman" w:hAnsi="Times New Roman" w:eastAsia="仿宋_GB2312" w:cs="Times New Roman"/>
                <w:b/>
                <w:szCs w:val="21"/>
              </w:rPr>
              <w:t>增加桌椅数量</w:t>
            </w:r>
          </w:p>
          <w:p>
            <w:pPr>
              <w:pStyle w:val="8"/>
              <w:ind w:firstLine="0" w:firstLineChars="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    在教学区的空旷区域可以增加木桌椅的数量。对于现有的缺少桌椅的讨论区添置合适数量的桌椅。为寝室楼下大厅配备可套塑料凳，月牙楼一楼增加现有类型的讨论桌椅。</w:t>
            </w:r>
          </w:p>
          <w:p>
            <w:pPr>
              <w:pStyle w:val="8"/>
              <w:jc w:val="left"/>
              <w:rPr>
                <w:rFonts w:hint="default" w:ascii="Times New Roman" w:hAnsi="Times New Roman" w:eastAsia="仿宋_GB2312" w:cs="Times New Roman"/>
                <w:b/>
                <w:szCs w:val="21"/>
              </w:rPr>
            </w:pPr>
            <w:r>
              <w:rPr>
                <w:rFonts w:hint="default" w:ascii="Times New Roman" w:hAnsi="Times New Roman" w:eastAsia="仿宋_GB2312" w:cs="Times New Roman"/>
                <w:b/>
                <w:szCs w:val="21"/>
              </w:rPr>
              <w:t>2</w:t>
            </w:r>
            <w:r>
              <w:rPr>
                <w:rFonts w:hint="default" w:ascii="Times New Roman" w:hAnsi="Times New Roman" w:eastAsia="仿宋_GB2312" w:cs="Times New Roman"/>
                <w:b/>
                <w:szCs w:val="21"/>
                <w:shd w:val="clear" w:color="auto" w:fill="FFFFFF"/>
              </w:rPr>
              <w:t>.</w:t>
            </w:r>
            <w:r>
              <w:rPr>
                <w:rFonts w:hint="default" w:ascii="Times New Roman" w:hAnsi="Times New Roman" w:eastAsia="仿宋_GB2312" w:cs="Times New Roman"/>
                <w:b/>
                <w:szCs w:val="21"/>
              </w:rPr>
              <w:t>合理开放部分区域作为学习讨论区</w:t>
            </w:r>
          </w:p>
          <w:p>
            <w:pPr>
              <w:pStyle w:val="8"/>
              <w:ind w:firstLine="0" w:firstLineChars="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    对于部分只供辅导员或者教师进行讨论的区域，对学生进行开放，从而增加现有的学习讨论区的数量以满足现有学生对学习讨论区的需求。</w:t>
            </w:r>
          </w:p>
          <w:p>
            <w:pPr>
              <w:pStyle w:val="8"/>
              <w:jc w:val="left"/>
              <w:rPr>
                <w:rFonts w:hint="default" w:ascii="Times New Roman" w:hAnsi="Times New Roman" w:eastAsia="仿宋_GB2312" w:cs="Times New Roman"/>
                <w:b/>
                <w:szCs w:val="21"/>
              </w:rPr>
            </w:pPr>
            <w:r>
              <w:rPr>
                <w:rFonts w:hint="default" w:ascii="Times New Roman" w:hAnsi="Times New Roman" w:eastAsia="仿宋_GB2312" w:cs="Times New Roman"/>
                <w:b/>
                <w:szCs w:val="21"/>
              </w:rPr>
              <w:t>3</w:t>
            </w:r>
            <w:r>
              <w:rPr>
                <w:rFonts w:hint="default" w:ascii="Times New Roman" w:hAnsi="Times New Roman" w:eastAsia="仿宋_GB2312" w:cs="Times New Roman"/>
                <w:b/>
                <w:szCs w:val="21"/>
                <w:shd w:val="clear" w:color="auto" w:fill="FFFFFF"/>
              </w:rPr>
              <w:t>.</w:t>
            </w:r>
            <w:r>
              <w:rPr>
                <w:rFonts w:hint="default" w:ascii="Times New Roman" w:hAnsi="Times New Roman" w:eastAsia="仿宋_GB2312" w:cs="Times New Roman"/>
                <w:b/>
                <w:szCs w:val="21"/>
              </w:rPr>
              <w:t>聘用管理人员</w:t>
            </w:r>
          </w:p>
          <w:p>
            <w:pPr>
              <w:pStyle w:val="8"/>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聘用学生管理员，提醒文明讨论，包括卫生、分贝、公共设施爱护等方面，改善学习讨论区的环境，减少临近相互干扰性较大的讨论区的干扰作用。</w:t>
            </w:r>
          </w:p>
          <w:p>
            <w:pPr>
              <w:pStyle w:val="8"/>
              <w:jc w:val="left"/>
              <w:rPr>
                <w:rFonts w:hint="default" w:ascii="Times New Roman" w:hAnsi="Times New Roman" w:eastAsia="仿宋_GB2312" w:cs="Times New Roman"/>
                <w:b/>
                <w:szCs w:val="21"/>
              </w:rPr>
            </w:pPr>
            <w:r>
              <w:rPr>
                <w:rFonts w:hint="default" w:ascii="Times New Roman" w:hAnsi="Times New Roman" w:eastAsia="仿宋_GB2312" w:cs="Times New Roman"/>
                <w:b/>
                <w:szCs w:val="21"/>
              </w:rPr>
              <w:t>4</w:t>
            </w:r>
            <w:r>
              <w:rPr>
                <w:rFonts w:hint="default" w:ascii="Times New Roman" w:hAnsi="Times New Roman" w:eastAsia="仿宋_GB2312" w:cs="Times New Roman"/>
                <w:b/>
                <w:szCs w:val="21"/>
                <w:shd w:val="clear" w:color="auto" w:fill="FFFFFF"/>
              </w:rPr>
              <w:t>.</w:t>
            </w:r>
            <w:r>
              <w:rPr>
                <w:rFonts w:hint="default" w:ascii="Times New Roman" w:hAnsi="Times New Roman" w:eastAsia="仿宋_GB2312" w:cs="Times New Roman"/>
                <w:b/>
                <w:szCs w:val="21"/>
              </w:rPr>
              <w:t>改善现有讨论区的配套设施</w:t>
            </w:r>
          </w:p>
          <w:p>
            <w:pPr>
              <w:pStyle w:val="8"/>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给除了教学区空旷处木桌椅外的讨论区配备小型黑板、插座。教室采用地面可翻式插座，每2-3个座位配一个插座。并对室内可增加投影仪的场所增加投影仪等设施。</w:t>
            </w:r>
          </w:p>
          <w:p>
            <w:pPr>
              <w:ind w:firstLine="422" w:firstLineChars="200"/>
              <w:jc w:val="left"/>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二、大西区新建学习讨论区的建议</w:t>
            </w:r>
          </w:p>
          <w:p>
            <w:pPr>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参照其他高校（如香港大学），建设一幢活动楼，供学生自主学习讨论、活动之用。</w:t>
            </w:r>
          </w:p>
          <w:p>
            <w:pPr>
              <w:numPr>
                <w:ilvl w:val="0"/>
                <w:numId w:val="1"/>
              </w:numPr>
              <w:rPr>
                <w:rFonts w:hint="default" w:ascii="Times New Roman" w:hAnsi="Times New Roman" w:eastAsia="仿宋_GB2312" w:cs="Times New Roman"/>
                <w:szCs w:val="21"/>
              </w:rPr>
            </w:pPr>
            <w:r>
              <w:rPr>
                <w:rFonts w:hint="default" w:ascii="Times New Roman" w:hAnsi="Times New Roman" w:eastAsia="仿宋_GB2312" w:cs="Times New Roman"/>
                <w:szCs w:val="21"/>
              </w:rPr>
              <w:t>地点：西区东北角，靠近现有宿舍区（据数据分析68%的同学希望讨论场地靠近生活区）</w:t>
            </w:r>
          </w:p>
          <w:p>
            <w:pPr>
              <w:numPr>
                <w:ilvl w:val="0"/>
                <w:numId w:val="1"/>
              </w:numPr>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楼层：共6层</w:t>
            </w:r>
          </w:p>
          <w:p>
            <w:pPr>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第一层：大型活动、讲座的教室，容量100-300；</w:t>
            </w:r>
          </w:p>
          <w:p>
            <w:pPr>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第二层、第三层、第四层：环形讨论区，并设置学生创业项目提供饮料、小食（根据数据分析四的需求分析，环形讨论区的需求人数占总人数的53.6%）；</w:t>
            </w:r>
          </w:p>
          <w:p>
            <w:pPr>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第五层、第六层：容量3-40人不等的各类多媒体会议室；</w:t>
            </w:r>
          </w:p>
          <w:p>
            <w:pPr>
              <w:numPr>
                <w:ilvl w:val="0"/>
                <w:numId w:val="2"/>
              </w:numPr>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硬件设备：</w:t>
            </w:r>
          </w:p>
          <w:p>
            <w:pPr>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1）大型活动教室：投影仪、话筒、音响、舞台灯光等</w:t>
            </w:r>
          </w:p>
          <w:p>
            <w:pPr>
              <w:ind w:left="2240" w:leftChars="199" w:hanging="1822" w:hangingChars="868"/>
              <w:rPr>
                <w:rFonts w:hint="default" w:ascii="Times New Roman" w:hAnsi="Times New Roman" w:eastAsia="仿宋_GB2312" w:cs="Times New Roman"/>
                <w:szCs w:val="21"/>
              </w:rPr>
            </w:pPr>
            <w:r>
              <w:rPr>
                <w:rFonts w:hint="default" w:ascii="Times New Roman" w:hAnsi="Times New Roman" w:eastAsia="仿宋_GB2312" w:cs="Times New Roman"/>
                <w:szCs w:val="21"/>
              </w:rPr>
              <w:t>2）多媒体会议室：活页图表纸架、幻灯机、录音机、激光笔、话筒、 小长桌、白板等</w:t>
            </w:r>
          </w:p>
          <w:p>
            <w:pPr>
              <w:numPr>
                <w:ilvl w:val="0"/>
                <w:numId w:val="2"/>
              </w:numPr>
              <w:rPr>
                <w:rFonts w:hint="default" w:ascii="Times New Roman" w:hAnsi="Times New Roman" w:eastAsia="仿宋_GB2312" w:cs="Times New Roman"/>
                <w:szCs w:val="21"/>
              </w:rPr>
            </w:pPr>
            <w:r>
              <w:rPr>
                <w:rFonts w:hint="default" w:ascii="Times New Roman" w:hAnsi="Times New Roman" w:eastAsia="仿宋_GB2312" w:cs="Times New Roman"/>
                <w:szCs w:val="21"/>
              </w:rPr>
              <w:t>开放时间：因场地不同而各异，但是晚上能够保证有场地可供讨论（以解决调研中发现的高峰期场地紧缺问题）；</w:t>
            </w:r>
          </w:p>
          <w:p>
            <w:pPr>
              <w:numPr>
                <w:ilvl w:val="0"/>
                <w:numId w:val="2"/>
              </w:numPr>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租用协议：明确校方与使用方的权利义务，明确预约、取消预约、转租、超时、物品寄存、损坏赔偿、意外责任等各项事宜。</w:t>
            </w:r>
          </w:p>
          <w:p>
            <w:pPr>
              <w:ind w:right="840" w:firstLine="3465" w:firstLineChars="1650"/>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提案人：   小浙     </w:t>
            </w:r>
          </w:p>
          <w:p>
            <w:pPr>
              <w:ind w:firstLine="4305" w:firstLineChars="2050"/>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202</w:t>
            </w:r>
            <w:r>
              <w:rPr>
                <w:rFonts w:hint="eastAsia" w:ascii="Times New Roman" w:hAnsi="Times New Roman" w:eastAsia="仿宋_GB2312" w:cs="Times New Roman"/>
                <w:szCs w:val="21"/>
                <w:lang w:val="en-US" w:eastAsia="zh-CN"/>
              </w:rPr>
              <w:t>4</w:t>
            </w:r>
            <w:r>
              <w:rPr>
                <w:rFonts w:hint="default" w:ascii="Times New Roman" w:hAnsi="Times New Roman" w:eastAsia="仿宋_GB2312" w:cs="Times New Roman"/>
                <w:szCs w:val="21"/>
              </w:rPr>
              <w:t xml:space="preserve">年  </w:t>
            </w:r>
            <w:r>
              <w:rPr>
                <w:rFonts w:hint="eastAsia" w:ascii="Times New Roman" w:hAnsi="Times New Roman" w:eastAsia="仿宋_GB2312" w:cs="Times New Roman"/>
                <w:szCs w:val="21"/>
                <w:lang w:val="en-US" w:eastAsia="zh-CN"/>
              </w:rPr>
              <w:t>4</w:t>
            </w:r>
            <w:r>
              <w:rPr>
                <w:rFonts w:hint="default" w:ascii="Times New Roman" w:hAnsi="Times New Roman" w:eastAsia="仿宋_GB2312" w:cs="Times New Roman"/>
                <w:szCs w:val="21"/>
              </w:rPr>
              <w:t>月  2</w:t>
            </w:r>
            <w:r>
              <w:rPr>
                <w:rFonts w:hint="eastAsia" w:ascii="Times New Roman" w:hAnsi="Times New Roman" w:eastAsia="仿宋_GB2312" w:cs="Times New Roman"/>
                <w:szCs w:val="21"/>
                <w:lang w:val="en-US" w:eastAsia="zh-CN"/>
              </w:rPr>
              <w:t>0</w:t>
            </w:r>
            <w:r>
              <w:rPr>
                <w:rFonts w:hint="default" w:ascii="Times New Roman" w:hAnsi="Times New Roman" w:eastAsia="仿宋_GB2312" w:cs="Times New Roman"/>
                <w:szCs w:val="21"/>
              </w:rPr>
              <w:t>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60" w:hRule="atLeast"/>
          <w:jc w:val="center"/>
        </w:trPr>
        <w:tc>
          <w:tcPr>
            <w:tcW w:w="959" w:type="dxa"/>
            <w:vAlign w:val="center"/>
          </w:tcPr>
          <w:p>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点评</w:t>
            </w:r>
          </w:p>
        </w:tc>
        <w:tc>
          <w:tcPr>
            <w:tcW w:w="7513" w:type="dxa"/>
            <w:gridSpan w:val="3"/>
          </w:tcPr>
          <w:p>
            <w:pPr>
              <w:jc w:val="left"/>
              <w:rPr>
                <w:rFonts w:hint="default" w:ascii="Times New Roman" w:hAnsi="Times New Roman" w:eastAsia="华文中宋" w:cs="Times New Roman"/>
                <w:sz w:val="30"/>
                <w:szCs w:val="30"/>
              </w:rPr>
            </w:pPr>
            <w:r>
              <w:rPr>
                <w:rFonts w:hint="default" w:ascii="Times New Roman" w:hAnsi="Times New Roman" w:eastAsia="仿宋_GB2312" w:cs="Times New Roman"/>
                <w:sz w:val="24"/>
                <w:szCs w:val="21"/>
              </w:rPr>
              <w:t>该提案经过了充分调研，内容详尽，建议具体，符合一事一案原则，符合广大同学意愿，予以立案。</w:t>
            </w:r>
          </w:p>
        </w:tc>
      </w:tr>
    </w:tbl>
    <w:p>
      <w:pPr>
        <w:jc w:val="center"/>
        <w:rPr>
          <w:rFonts w:hint="default" w:ascii="Times New Roman" w:hAnsi="Times New Roman" w:eastAsia="华文中宋" w:cs="Times New Roman"/>
          <w:b/>
          <w:sz w:val="30"/>
          <w:szCs w:val="30"/>
        </w:rPr>
      </w:pPr>
      <w:r>
        <w:rPr>
          <w:rFonts w:hint="default" w:ascii="Times New Roman" w:hAnsi="Times New Roman" w:eastAsia="华文中宋" w:cs="Times New Roman"/>
          <w:b/>
          <w:sz w:val="30"/>
          <w:szCs w:val="30"/>
        </w:rPr>
        <w:t>浙江大学学生代表大会提案指导性案例2</w:t>
      </w:r>
    </w:p>
    <w:p>
      <w:pPr>
        <w:jc w:val="center"/>
        <w:rPr>
          <w:rFonts w:hint="default" w:ascii="Times New Roman" w:hAnsi="Times New Roman" w:eastAsia="华文中宋" w:cs="Times New Roman"/>
          <w:b/>
          <w:sz w:val="30"/>
          <w:szCs w:val="30"/>
        </w:rPr>
      </w:pPr>
      <w:r>
        <w:rPr>
          <w:rFonts w:hint="default" w:ascii="Times New Roman" w:hAnsi="Times New Roman" w:eastAsia="华文中宋" w:cs="Times New Roman"/>
          <w:b/>
          <w:sz w:val="30"/>
          <w:szCs w:val="30"/>
        </w:rPr>
        <w:t>(非一事一案，不予立案)</w:t>
      </w:r>
    </w:p>
    <w:p>
      <w:pPr>
        <w:spacing w:line="360" w:lineRule="auto"/>
        <w:jc w:val="left"/>
        <w:rPr>
          <w:rFonts w:hint="default" w:ascii="Times New Roman" w:hAnsi="Times New Roman" w:cs="Times New Roman"/>
          <w:sz w:val="24"/>
          <w:u w:val="single"/>
        </w:rPr>
      </w:pPr>
      <w:r>
        <w:rPr>
          <w:rFonts w:hint="default" w:ascii="Times New Roman" w:hAnsi="Times New Roman" w:cs="Times New Roman"/>
          <w:sz w:val="24"/>
        </w:rPr>
        <w:t>编号：  1-2                              提案日期：  202</w:t>
      </w:r>
      <w:r>
        <w:rPr>
          <w:rFonts w:hint="eastAsia" w:ascii="Times New Roman" w:hAnsi="Times New Roman" w:cs="Times New Roman"/>
          <w:sz w:val="24"/>
          <w:lang w:val="en-US" w:eastAsia="zh-CN"/>
        </w:rPr>
        <w:t>4</w:t>
      </w:r>
      <w:r>
        <w:rPr>
          <w:rFonts w:hint="default" w:ascii="Times New Roman" w:hAnsi="Times New Roman" w:cs="Times New Roman"/>
          <w:sz w:val="24"/>
        </w:rPr>
        <w:t xml:space="preserve">年 </w:t>
      </w:r>
      <w:r>
        <w:rPr>
          <w:rFonts w:hint="eastAsia" w:ascii="Times New Roman" w:hAnsi="Times New Roman" w:cs="Times New Roman"/>
          <w:sz w:val="24"/>
          <w:lang w:val="en-US" w:eastAsia="zh-CN"/>
        </w:rPr>
        <w:t>4</w:t>
      </w:r>
      <w:r>
        <w:rPr>
          <w:rFonts w:hint="default" w:ascii="Times New Roman" w:hAnsi="Times New Roman" w:cs="Times New Roman"/>
          <w:sz w:val="24"/>
        </w:rPr>
        <w:t>月 2</w:t>
      </w:r>
      <w:r>
        <w:rPr>
          <w:rFonts w:hint="eastAsia" w:ascii="Times New Roman" w:hAnsi="Times New Roman" w:cs="Times New Roman"/>
          <w:sz w:val="24"/>
          <w:lang w:val="en-US" w:eastAsia="zh-CN"/>
        </w:rPr>
        <w:t>0</w:t>
      </w:r>
      <w:r>
        <w:rPr>
          <w:rFonts w:hint="default" w:ascii="Times New Roman" w:hAnsi="Times New Roman" w:cs="Times New Roman"/>
          <w:sz w:val="24"/>
        </w:rPr>
        <w:t xml:space="preserve">日 </w:t>
      </w:r>
    </w:p>
    <w:tbl>
      <w:tblPr>
        <w:tblStyle w:val="4"/>
        <w:tblW w:w="81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0"/>
        <w:gridCol w:w="1433"/>
        <w:gridCol w:w="2170"/>
        <w:gridCol w:w="370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0" w:hRule="atLeast"/>
          <w:jc w:val="center"/>
        </w:trPr>
        <w:tc>
          <w:tcPr>
            <w:tcW w:w="860" w:type="dxa"/>
            <w:vMerge w:val="restart"/>
            <w:noWrap/>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提案人</w:t>
            </w:r>
          </w:p>
        </w:tc>
        <w:tc>
          <w:tcPr>
            <w:tcW w:w="1433"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姓  名</w:t>
            </w:r>
          </w:p>
        </w:tc>
        <w:tc>
          <w:tcPr>
            <w:tcW w:w="2170"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所属代表团</w:t>
            </w:r>
          </w:p>
        </w:tc>
        <w:tc>
          <w:tcPr>
            <w:tcW w:w="3708"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联系方式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0" w:hRule="atLeast"/>
          <w:jc w:val="center"/>
        </w:trPr>
        <w:tc>
          <w:tcPr>
            <w:tcW w:w="860" w:type="dxa"/>
            <w:vMerge w:val="continue"/>
            <w:vAlign w:val="center"/>
          </w:tcPr>
          <w:p>
            <w:pPr>
              <w:spacing w:line="360" w:lineRule="auto"/>
              <w:jc w:val="center"/>
              <w:rPr>
                <w:rFonts w:hint="default" w:ascii="Times New Roman" w:hAnsi="Times New Roman" w:cs="Times New Roman"/>
                <w:sz w:val="24"/>
              </w:rPr>
            </w:pPr>
          </w:p>
        </w:tc>
        <w:tc>
          <w:tcPr>
            <w:tcW w:w="1433"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小浙</w:t>
            </w:r>
          </w:p>
        </w:tc>
        <w:tc>
          <w:tcPr>
            <w:tcW w:w="2170"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文学院</w:t>
            </w:r>
          </w:p>
        </w:tc>
        <w:tc>
          <w:tcPr>
            <w:tcW w:w="3708"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130xxxxxxxx</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0" w:hRule="atLeast"/>
          <w:jc w:val="center"/>
        </w:trPr>
        <w:tc>
          <w:tcPr>
            <w:tcW w:w="860" w:type="dxa"/>
            <w:vMerge w:val="restart"/>
            <w:noWrap/>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附议人</w:t>
            </w:r>
          </w:p>
        </w:tc>
        <w:tc>
          <w:tcPr>
            <w:tcW w:w="1433"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p>
        </w:tc>
        <w:tc>
          <w:tcPr>
            <w:tcW w:w="2170"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p>
        </w:tc>
        <w:tc>
          <w:tcPr>
            <w:tcW w:w="3708"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0" w:hRule="atLeast"/>
          <w:jc w:val="center"/>
        </w:trPr>
        <w:tc>
          <w:tcPr>
            <w:tcW w:w="860" w:type="dxa"/>
            <w:vMerge w:val="continue"/>
            <w:vAlign w:val="center"/>
          </w:tcPr>
          <w:p>
            <w:pPr>
              <w:spacing w:line="360" w:lineRule="auto"/>
              <w:jc w:val="center"/>
              <w:rPr>
                <w:rFonts w:hint="default" w:ascii="Times New Roman" w:hAnsi="Times New Roman" w:cs="Times New Roman"/>
                <w:sz w:val="24"/>
              </w:rPr>
            </w:pPr>
          </w:p>
        </w:tc>
        <w:tc>
          <w:tcPr>
            <w:tcW w:w="1433"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p>
        </w:tc>
        <w:tc>
          <w:tcPr>
            <w:tcW w:w="2170"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p>
        </w:tc>
        <w:tc>
          <w:tcPr>
            <w:tcW w:w="3708"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0" w:hRule="atLeast"/>
          <w:jc w:val="center"/>
        </w:trPr>
        <w:tc>
          <w:tcPr>
            <w:tcW w:w="860" w:type="dxa"/>
            <w:vMerge w:val="continue"/>
            <w:vAlign w:val="center"/>
          </w:tcPr>
          <w:p>
            <w:pPr>
              <w:spacing w:line="360" w:lineRule="auto"/>
              <w:jc w:val="center"/>
              <w:rPr>
                <w:rFonts w:hint="default" w:ascii="Times New Roman" w:hAnsi="Times New Roman" w:cs="Times New Roman"/>
                <w:sz w:val="24"/>
              </w:rPr>
            </w:pPr>
          </w:p>
        </w:tc>
        <w:tc>
          <w:tcPr>
            <w:tcW w:w="1433"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p>
        </w:tc>
        <w:tc>
          <w:tcPr>
            <w:tcW w:w="2170"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p>
        </w:tc>
        <w:tc>
          <w:tcPr>
            <w:tcW w:w="3708"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 w:hRule="atLeast"/>
          <w:jc w:val="center"/>
        </w:trPr>
        <w:tc>
          <w:tcPr>
            <w:tcW w:w="860" w:type="dxa"/>
            <w:noWrap/>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案名</w:t>
            </w:r>
          </w:p>
        </w:tc>
        <w:tc>
          <w:tcPr>
            <w:tcW w:w="7311" w:type="dxa"/>
            <w:gridSpan w:val="3"/>
            <w:tcMar>
              <w:top w:w="60" w:type="dxa"/>
              <w:left w:w="60" w:type="dxa"/>
              <w:bottom w:w="60" w:type="dxa"/>
              <w:right w:w="60" w:type="dxa"/>
            </w:tcMar>
          </w:tcPr>
          <w:p>
            <w:pPr>
              <w:spacing w:line="360" w:lineRule="auto"/>
              <w:rPr>
                <w:rFonts w:hint="default" w:ascii="Times New Roman" w:hAnsi="Times New Roman" w:cs="Times New Roman"/>
                <w:sz w:val="24"/>
              </w:rPr>
            </w:pPr>
            <w:r>
              <w:rPr>
                <w:rFonts w:hint="default" w:ascii="Times New Roman" w:hAnsi="Times New Roman" w:eastAsia="仿宋_GB2312" w:cs="Times New Roman"/>
                <w:sz w:val="24"/>
                <w:szCs w:val="21"/>
              </w:rPr>
              <w:t>关于改善紫金港西区教学楼学霸餐就餐、紫金港校区雨具集中处理与玉泉校区充电桩管理的提案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 w:hRule="atLeast"/>
          <w:jc w:val="center"/>
        </w:trPr>
        <w:tc>
          <w:tcPr>
            <w:tcW w:w="860" w:type="dxa"/>
            <w:noWrap/>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案</w:t>
            </w:r>
          </w:p>
          <w:p>
            <w:pPr>
              <w:spacing w:line="360" w:lineRule="auto"/>
              <w:jc w:val="center"/>
              <w:rPr>
                <w:rFonts w:hint="default" w:ascii="Times New Roman" w:hAnsi="Times New Roman" w:cs="Times New Roman"/>
                <w:sz w:val="24"/>
              </w:rPr>
            </w:pPr>
            <w:r>
              <w:rPr>
                <w:rFonts w:hint="default" w:ascii="Times New Roman" w:hAnsi="Times New Roman" w:cs="Times New Roman"/>
                <w:sz w:val="24"/>
              </w:rPr>
              <w:t>由</w:t>
            </w:r>
          </w:p>
        </w:tc>
        <w:tc>
          <w:tcPr>
            <w:tcW w:w="7311" w:type="dxa"/>
            <w:gridSpan w:val="3"/>
            <w:tcMar>
              <w:top w:w="60" w:type="dxa"/>
              <w:left w:w="60" w:type="dxa"/>
              <w:bottom w:w="60" w:type="dxa"/>
              <w:right w:w="60" w:type="dxa"/>
            </w:tcMar>
          </w:tcPr>
          <w:p>
            <w:pPr>
              <w:spacing w:line="240" w:lineRule="atLeast"/>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关于西区教学楼学霸餐就餐问题：西区虽然有临湖餐厅，但容量有限，还是有很多学生选择吃学霸餐，尤其是雨天。然而西区没有就餐的位置，桌椅极少，很多同学都选择坐在石阶上就餐，若遇雨天则石阶上也无法就坐，而冬天室外寒冷，学霸餐容易变冷。</w:t>
            </w:r>
          </w:p>
          <w:p>
            <w:pPr>
              <w:spacing w:line="240" w:lineRule="atLeast"/>
              <w:jc w:val="left"/>
              <w:rPr>
                <w:rFonts w:hint="default" w:ascii="Times New Roman" w:hAnsi="Times New Roman" w:eastAsia="仿宋_GB2312" w:cs="Times New Roman"/>
                <w:sz w:val="24"/>
                <w:szCs w:val="21"/>
              </w:rPr>
            </w:pPr>
          </w:p>
          <w:p>
            <w:pPr>
              <w:tabs>
                <w:tab w:val="center" w:pos="3888"/>
              </w:tabs>
              <w:rPr>
                <w:rFonts w:hint="default" w:ascii="Times New Roman" w:hAnsi="Times New Roman" w:eastAsia="仿宋_GB2312" w:cs="Times New Roman"/>
                <w:bCs/>
                <w:szCs w:val="21"/>
                <w:shd w:val="clear" w:color="auto" w:fill="FFFFFF"/>
              </w:rPr>
            </w:pPr>
            <w:r>
              <w:rPr>
                <w:rFonts w:hint="default" w:ascii="Times New Roman" w:hAnsi="Times New Roman" w:eastAsia="仿宋_GB2312" w:cs="Times New Roman"/>
                <w:sz w:val="24"/>
                <w:szCs w:val="21"/>
              </w:rPr>
              <w:t>关于雨伞：很多同学反应在公共区域丢失雨具以后，很难再重新找回，因为没有丢失雨具招领处或是集中放置处。由于雨具的使用比较急迫，所以大多数同学在第一时间没有找回后会再购买，这样不仅增加同学们经济上的压力，也间接导致了雨具的浪费。</w:t>
            </w:r>
          </w:p>
          <w:p>
            <w:pPr>
              <w:spacing w:line="240" w:lineRule="atLeast"/>
              <w:jc w:val="left"/>
              <w:rPr>
                <w:rFonts w:hint="default" w:ascii="Times New Roman" w:hAnsi="Times New Roman" w:eastAsia="仿宋_GB2312" w:cs="Times New Roman"/>
                <w:sz w:val="24"/>
                <w:szCs w:val="21"/>
              </w:rPr>
            </w:pPr>
          </w:p>
          <w:p>
            <w:pPr>
              <w:spacing w:line="240" w:lineRule="atLeast"/>
              <w:jc w:val="left"/>
              <w:rPr>
                <w:rFonts w:hint="default" w:ascii="Times New Roman" w:hAnsi="Times New Roman" w:eastAsia="仿宋_GB2312" w:cs="Times New Roman"/>
                <w:sz w:val="24"/>
                <w:szCs w:val="21"/>
              </w:rPr>
            </w:pPr>
          </w:p>
          <w:p>
            <w:pPr>
              <w:spacing w:line="240" w:lineRule="atLeast"/>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关于充电桩：在紫金港校区：除了大西区，学园宿舍区也供不应求，留学生宿舍前的充电桩总有损坏。在玉泉校区：希望增加充电桩。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 w:hRule="atLeast"/>
          <w:jc w:val="center"/>
        </w:trPr>
        <w:tc>
          <w:tcPr>
            <w:tcW w:w="860" w:type="dxa"/>
            <w:tcBorders>
              <w:top w:val="single" w:color="000000" w:sz="6" w:space="0"/>
              <w:left w:val="single" w:color="000000" w:sz="6" w:space="0"/>
              <w:bottom w:val="single" w:color="000000" w:sz="6" w:space="0"/>
              <w:right w:val="single" w:color="000000" w:sz="6" w:space="0"/>
            </w:tcBorders>
            <w:noWrap/>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具</w:t>
            </w:r>
          </w:p>
          <w:p>
            <w:pPr>
              <w:spacing w:line="360" w:lineRule="auto"/>
              <w:jc w:val="center"/>
              <w:rPr>
                <w:rFonts w:hint="default" w:ascii="Times New Roman" w:hAnsi="Times New Roman" w:cs="Times New Roman"/>
                <w:sz w:val="24"/>
              </w:rPr>
            </w:pPr>
            <w:r>
              <w:rPr>
                <w:rFonts w:hint="default" w:ascii="Times New Roman" w:hAnsi="Times New Roman" w:cs="Times New Roman"/>
                <w:sz w:val="24"/>
              </w:rPr>
              <w:t>体</w:t>
            </w:r>
          </w:p>
          <w:p>
            <w:pPr>
              <w:spacing w:line="360" w:lineRule="auto"/>
              <w:jc w:val="center"/>
              <w:rPr>
                <w:rFonts w:hint="default" w:ascii="Times New Roman" w:hAnsi="Times New Roman" w:cs="Times New Roman"/>
                <w:sz w:val="24"/>
              </w:rPr>
            </w:pPr>
            <w:r>
              <w:rPr>
                <w:rFonts w:hint="default" w:ascii="Times New Roman" w:hAnsi="Times New Roman" w:cs="Times New Roman"/>
                <w:sz w:val="24"/>
              </w:rPr>
              <w:t>建</w:t>
            </w:r>
          </w:p>
          <w:p>
            <w:pPr>
              <w:spacing w:line="360" w:lineRule="auto"/>
              <w:jc w:val="center"/>
              <w:rPr>
                <w:rFonts w:hint="default" w:ascii="Times New Roman" w:hAnsi="Times New Roman" w:cs="Times New Roman"/>
                <w:sz w:val="24"/>
              </w:rPr>
            </w:pPr>
            <w:r>
              <w:rPr>
                <w:rFonts w:hint="default" w:ascii="Times New Roman" w:hAnsi="Times New Roman" w:cs="Times New Roman"/>
                <w:sz w:val="24"/>
              </w:rPr>
              <w:t>议</w:t>
            </w:r>
          </w:p>
        </w:tc>
        <w:tc>
          <w:tcPr>
            <w:tcW w:w="7311" w:type="dxa"/>
            <w:gridSpan w:val="3"/>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tcPr>
          <w:p>
            <w:pPr>
              <w:spacing w:line="240" w:lineRule="atLeast"/>
              <w:jc w:val="right"/>
              <w:rPr>
                <w:rFonts w:hint="default" w:ascii="Times New Roman" w:hAnsi="Times New Roman" w:eastAsia="仿宋_GB2312" w:cs="Times New Roman"/>
                <w:szCs w:val="21"/>
              </w:rPr>
            </w:pPr>
          </w:p>
          <w:p>
            <w:pPr>
              <w:spacing w:line="240" w:lineRule="atLeast"/>
              <w:ind w:right="210"/>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提案人：   小浙     </w:t>
            </w:r>
          </w:p>
          <w:p>
            <w:pPr>
              <w:spacing w:line="240" w:lineRule="atLeast"/>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202</w:t>
            </w:r>
            <w:r>
              <w:rPr>
                <w:rFonts w:hint="eastAsia" w:ascii="Times New Roman" w:hAnsi="Times New Roman" w:eastAsia="仿宋_GB2312" w:cs="Times New Roman"/>
                <w:szCs w:val="21"/>
                <w:lang w:val="en-US" w:eastAsia="zh-CN"/>
              </w:rPr>
              <w:t>4</w:t>
            </w:r>
            <w:r>
              <w:rPr>
                <w:rFonts w:hint="default" w:ascii="Times New Roman" w:hAnsi="Times New Roman" w:eastAsia="仿宋_GB2312" w:cs="Times New Roman"/>
                <w:szCs w:val="21"/>
              </w:rPr>
              <w:t xml:space="preserve">年  </w:t>
            </w:r>
            <w:r>
              <w:rPr>
                <w:rFonts w:hint="eastAsia" w:ascii="Times New Roman" w:hAnsi="Times New Roman" w:eastAsia="仿宋_GB2312" w:cs="Times New Roman"/>
                <w:szCs w:val="21"/>
                <w:lang w:val="en-US" w:eastAsia="zh-CN"/>
              </w:rPr>
              <w:t>4</w:t>
            </w:r>
            <w:r>
              <w:rPr>
                <w:rFonts w:hint="default" w:ascii="Times New Roman" w:hAnsi="Times New Roman" w:eastAsia="仿宋_GB2312" w:cs="Times New Roman"/>
                <w:szCs w:val="21"/>
              </w:rPr>
              <w:t>月  2</w:t>
            </w:r>
            <w:r>
              <w:rPr>
                <w:rFonts w:hint="eastAsia" w:ascii="Times New Roman" w:hAnsi="Times New Roman" w:eastAsia="仿宋_GB2312" w:cs="Times New Roman"/>
                <w:szCs w:val="21"/>
                <w:lang w:val="en-US" w:eastAsia="zh-CN"/>
              </w:rPr>
              <w:t>0</w:t>
            </w:r>
            <w:bookmarkStart w:id="0" w:name="_GoBack"/>
            <w:bookmarkEnd w:id="0"/>
            <w:r>
              <w:rPr>
                <w:rFonts w:hint="default" w:ascii="Times New Roman" w:hAnsi="Times New Roman" w:eastAsia="仿宋_GB2312" w:cs="Times New Roman"/>
                <w:szCs w:val="21"/>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 w:hRule="atLeast"/>
          <w:jc w:val="center"/>
        </w:trPr>
        <w:tc>
          <w:tcPr>
            <w:tcW w:w="860" w:type="dxa"/>
            <w:tcBorders>
              <w:top w:val="single" w:color="000000" w:sz="6" w:space="0"/>
              <w:left w:val="single" w:color="000000" w:sz="6" w:space="0"/>
              <w:bottom w:val="single" w:color="000000" w:sz="6" w:space="0"/>
              <w:right w:val="single" w:color="000000" w:sz="6" w:space="0"/>
            </w:tcBorders>
            <w:noWrap/>
            <w:tcMar>
              <w:top w:w="60" w:type="dxa"/>
              <w:left w:w="60" w:type="dxa"/>
              <w:bottom w:w="60" w:type="dxa"/>
              <w:right w:w="60" w:type="dxa"/>
            </w:tcMar>
            <w:vAlign w:val="center"/>
          </w:tcPr>
          <w:p>
            <w:pPr>
              <w:spacing w:line="360" w:lineRule="auto"/>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点评</w:t>
            </w:r>
          </w:p>
        </w:tc>
        <w:tc>
          <w:tcPr>
            <w:tcW w:w="7311" w:type="dxa"/>
            <w:gridSpan w:val="3"/>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tcPr>
          <w:p>
            <w:pPr>
              <w:spacing w:line="240" w:lineRule="atLeast"/>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1、该提案涉及主题过多，不符合一事一案原则；</w:t>
            </w:r>
          </w:p>
          <w:p>
            <w:pPr>
              <w:spacing w:line="240" w:lineRule="atLeast"/>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2、涉及个别校区多个主题的，亦需分开撰写提案；</w:t>
            </w:r>
          </w:p>
          <w:p>
            <w:pPr>
              <w:spacing w:line="240" w:lineRule="atLeast"/>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3、案由不具代表性或已经有相应解决措施，如：</w:t>
            </w:r>
          </w:p>
          <w:p>
            <w:pPr>
              <w:spacing w:line="360" w:lineRule="auto"/>
              <w:ind w:right="480" w:firstLine="480" w:firstLineChars="200"/>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学校依托浙大生活、浙大后勤和各区域设置的失物招领箱已经建设有较为完善的失物招领体系，同时学校食堂、体育场馆和图书馆实际上已经配有相应的雨具放置容器。专门为雨具设置失物招领专栏不具有代表性和可行性；</w:t>
            </w:r>
          </w:p>
          <w:p>
            <w:pPr>
              <w:spacing w:line="240" w:lineRule="atLeast"/>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4、该提案需增加具体建议；</w:t>
            </w:r>
          </w:p>
          <w:p>
            <w:pPr>
              <w:spacing w:line="240" w:lineRule="atLeast"/>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综上，</w:t>
            </w:r>
            <w:r>
              <w:rPr>
                <w:rFonts w:hint="default" w:ascii="Times New Roman" w:hAnsi="Times New Roman" w:eastAsia="仿宋_GB2312" w:cs="Times New Roman"/>
                <w:sz w:val="24"/>
                <w:szCs w:val="21"/>
                <w:lang w:val="en-US" w:eastAsia="zh-Hans"/>
              </w:rPr>
              <w:t>该</w:t>
            </w:r>
            <w:r>
              <w:rPr>
                <w:rFonts w:hint="default" w:ascii="Times New Roman" w:hAnsi="Times New Roman" w:eastAsia="仿宋_GB2312" w:cs="Times New Roman"/>
                <w:sz w:val="24"/>
                <w:szCs w:val="21"/>
              </w:rPr>
              <w:t>提案不予立案。</w:t>
            </w:r>
          </w:p>
        </w:tc>
      </w:tr>
    </w:tbl>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E530B0"/>
    <w:multiLevelType w:val="multilevel"/>
    <w:tmpl w:val="18E530B0"/>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7BB94206"/>
    <w:multiLevelType w:val="multilevel"/>
    <w:tmpl w:val="7BB94206"/>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E56AFE"/>
    <w:rsid w:val="00023348"/>
    <w:rsid w:val="000412A2"/>
    <w:rsid w:val="00046648"/>
    <w:rsid w:val="00081000"/>
    <w:rsid w:val="00092E7F"/>
    <w:rsid w:val="000A7961"/>
    <w:rsid w:val="000E04B8"/>
    <w:rsid w:val="00114E69"/>
    <w:rsid w:val="001929A6"/>
    <w:rsid w:val="001A2E9C"/>
    <w:rsid w:val="00245114"/>
    <w:rsid w:val="0029414F"/>
    <w:rsid w:val="002A5D49"/>
    <w:rsid w:val="003304F0"/>
    <w:rsid w:val="003612DD"/>
    <w:rsid w:val="003A3378"/>
    <w:rsid w:val="003D7AD7"/>
    <w:rsid w:val="003E67AD"/>
    <w:rsid w:val="003E7E79"/>
    <w:rsid w:val="00415B15"/>
    <w:rsid w:val="004662F1"/>
    <w:rsid w:val="004663F3"/>
    <w:rsid w:val="00472530"/>
    <w:rsid w:val="004931D2"/>
    <w:rsid w:val="004D681F"/>
    <w:rsid w:val="00552B74"/>
    <w:rsid w:val="005A35A3"/>
    <w:rsid w:val="005A775D"/>
    <w:rsid w:val="005B0997"/>
    <w:rsid w:val="00621D43"/>
    <w:rsid w:val="00646C9C"/>
    <w:rsid w:val="006954D3"/>
    <w:rsid w:val="00732775"/>
    <w:rsid w:val="00742C84"/>
    <w:rsid w:val="00772C9F"/>
    <w:rsid w:val="007E4BC9"/>
    <w:rsid w:val="007F5D82"/>
    <w:rsid w:val="00822374"/>
    <w:rsid w:val="00856DBA"/>
    <w:rsid w:val="00892E25"/>
    <w:rsid w:val="009A0094"/>
    <w:rsid w:val="00A02BFE"/>
    <w:rsid w:val="00A36002"/>
    <w:rsid w:val="00A57313"/>
    <w:rsid w:val="00A75308"/>
    <w:rsid w:val="00A81D85"/>
    <w:rsid w:val="00A955EA"/>
    <w:rsid w:val="00B21A8C"/>
    <w:rsid w:val="00B57C8A"/>
    <w:rsid w:val="00B61AF2"/>
    <w:rsid w:val="00C01F18"/>
    <w:rsid w:val="00C4391F"/>
    <w:rsid w:val="00D535E6"/>
    <w:rsid w:val="00D76E59"/>
    <w:rsid w:val="00E0162F"/>
    <w:rsid w:val="00E11015"/>
    <w:rsid w:val="00E12D50"/>
    <w:rsid w:val="00E56AFE"/>
    <w:rsid w:val="00ED4B2B"/>
    <w:rsid w:val="00F01166"/>
    <w:rsid w:val="00F14EA8"/>
    <w:rsid w:val="00F15C1F"/>
    <w:rsid w:val="00F45942"/>
    <w:rsid w:val="00F8429D"/>
    <w:rsid w:val="032A1031"/>
    <w:rsid w:val="1C655874"/>
    <w:rsid w:val="5AE81367"/>
    <w:rsid w:val="7573D02D"/>
    <w:rsid w:val="7B0E7FCB"/>
    <w:rsid w:val="7BBFBA22"/>
    <w:rsid w:val="7CF11F0A"/>
    <w:rsid w:val="FFBFB13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autoRedefine/>
    <w:qFormat/>
    <w:uiPriority w:val="99"/>
    <w:rPr>
      <w:sz w:val="18"/>
      <w:szCs w:val="18"/>
    </w:rPr>
  </w:style>
  <w:style w:type="paragraph" w:customStyle="1" w:styleId="8">
    <w:name w:val="List Paragraph1"/>
    <w:basedOn w:val="1"/>
    <w:autoRedefine/>
    <w:qFormat/>
    <w:uiPriority w:val="99"/>
    <w:pPr>
      <w:ind w:firstLine="420" w:firstLineChars="200"/>
    </w:pPr>
    <w:rPr>
      <w:szCs w:val="20"/>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2396</Words>
  <Characters>2466</Characters>
  <Lines>19</Lines>
  <Paragraphs>5</Paragraphs>
  <TotalTime>42</TotalTime>
  <ScaleCrop>false</ScaleCrop>
  <LinksUpToDate>false</LinksUpToDate>
  <CharactersWithSpaces>2575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2021-05-22T13:01:00Z</dcterms:created>
  <dc:creator>郑 浩阳</dc:creator>
  <cp:lastModifiedBy>巴普洛夫斯基</cp:lastModifiedBy>
  <dcterms:modified xsi:type="dcterms:W3CDTF">2024-04-14T13:45:02Z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5398EDE9C7EE4970A0D360956FF1B6E7_13</vt:lpwstr>
  </property>
</Properties>
</file>