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62" w:rsidRPr="00FC79A8" w:rsidRDefault="005C4E62" w:rsidP="005C4E62">
      <w:pPr>
        <w:spacing w:afterLines="50" w:after="156"/>
        <w:jc w:val="center"/>
        <w:rPr>
          <w:rFonts w:ascii="宋体" w:eastAsia="宋体" w:hAnsi="宋体"/>
          <w:b/>
          <w:sz w:val="28"/>
        </w:rPr>
      </w:pPr>
      <w:r w:rsidRPr="00FC79A8">
        <w:rPr>
          <w:rFonts w:ascii="宋体" w:eastAsia="宋体" w:hAnsi="宋体" w:hint="eastAsia"/>
          <w:b/>
          <w:sz w:val="28"/>
        </w:rPr>
        <w:t>医学院第二批教育教学成果奖培育项目拟立项名单</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1276"/>
        <w:gridCol w:w="1134"/>
        <w:gridCol w:w="2415"/>
        <w:gridCol w:w="1271"/>
        <w:gridCol w:w="1275"/>
      </w:tblGrid>
      <w:tr w:rsidR="005C4E62" w:rsidRPr="004A52AA" w:rsidTr="00571CA1">
        <w:trPr>
          <w:trHeight w:val="840"/>
          <w:jc w:val="center"/>
        </w:trPr>
        <w:tc>
          <w:tcPr>
            <w:tcW w:w="562" w:type="dxa"/>
            <w:shd w:val="clear" w:color="auto" w:fill="auto"/>
            <w:vAlign w:val="center"/>
          </w:tcPr>
          <w:p w:rsidR="005C4E62" w:rsidRPr="001E535C" w:rsidRDefault="005C4E62" w:rsidP="00571CA1">
            <w:pPr>
              <w:widowControl/>
              <w:jc w:val="center"/>
              <w:rPr>
                <w:rFonts w:ascii="宋体" w:eastAsia="宋体" w:hAnsi="宋体"/>
                <w:b/>
                <w:bCs/>
                <w:color w:val="000000"/>
                <w:szCs w:val="21"/>
              </w:rPr>
            </w:pPr>
            <w:r w:rsidRPr="001E535C">
              <w:rPr>
                <w:rFonts w:ascii="宋体" w:eastAsia="宋体" w:hAnsi="宋体" w:hint="eastAsia"/>
                <w:b/>
                <w:bCs/>
                <w:color w:val="000000"/>
                <w:szCs w:val="21"/>
              </w:rPr>
              <w:t>序号</w:t>
            </w:r>
          </w:p>
        </w:tc>
        <w:tc>
          <w:tcPr>
            <w:tcW w:w="3402"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申报项目名称</w:t>
            </w:r>
          </w:p>
        </w:tc>
        <w:tc>
          <w:tcPr>
            <w:tcW w:w="1276"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项目所在单位</w:t>
            </w:r>
          </w:p>
        </w:tc>
        <w:tc>
          <w:tcPr>
            <w:tcW w:w="1134"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项目负责人</w:t>
            </w:r>
          </w:p>
        </w:tc>
        <w:tc>
          <w:tcPr>
            <w:tcW w:w="2415"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团队成员</w:t>
            </w:r>
          </w:p>
        </w:tc>
        <w:tc>
          <w:tcPr>
            <w:tcW w:w="1271"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项目类别</w:t>
            </w:r>
          </w:p>
        </w:tc>
        <w:tc>
          <w:tcPr>
            <w:tcW w:w="1275" w:type="dxa"/>
            <w:shd w:val="clear" w:color="auto" w:fill="auto"/>
            <w:vAlign w:val="center"/>
          </w:tcPr>
          <w:p w:rsidR="005C4E62" w:rsidRPr="001E535C" w:rsidRDefault="005C4E62" w:rsidP="00571CA1">
            <w:pPr>
              <w:jc w:val="center"/>
              <w:rPr>
                <w:rFonts w:ascii="宋体" w:eastAsia="宋体" w:hAnsi="宋体"/>
                <w:b/>
                <w:bCs/>
                <w:szCs w:val="21"/>
              </w:rPr>
            </w:pPr>
            <w:r w:rsidRPr="001E535C">
              <w:rPr>
                <w:rFonts w:ascii="宋体" w:eastAsia="宋体" w:hAnsi="宋体" w:hint="eastAsia"/>
                <w:b/>
                <w:bCs/>
                <w:szCs w:val="21"/>
              </w:rPr>
              <w:t>立项类型</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新医科背景下融合课程思政的基础医学课程体系构建与实践</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基础医学院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张晓明</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王迪、王青青、毛峥嵘、柳华</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重点项目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2</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“以学生为中心”多元化口腔组织病理学教学课堂改革</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口腔医学院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胡济安</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胡济安，李怡宁，揭伟萍，俞庄洁</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重点项目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3</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基于腹腔镜仿真子宫模型的“视听练教”课程在妇产科专硕研究生中的探索</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第三临床医学院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张松英</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郦光晓 杨瑾 杨建华 杨阳</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研究生教育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重点项目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4</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临床医学博士后培养体系的创新与实践</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方向明</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阮恒超、陈磊、徐凌霄</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毕业后教育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重点项目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5</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积极心理学指导下的新型学习与成长社区建设</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公共卫生学院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杨芊</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李金林、陈树林、吕黎江、徐俊芳</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6</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基于“基础临床、线上线下”融合的医学本科神经生物学教学改革的探索与实践</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脑科学与脑医学学院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金静华</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罗建红，包爱民</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7</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健康中国战略背景下阶梯式医学人才实践教育体系的构建</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第一临床医学院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梁廷波</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陈韶华、吴李鸣、胡春燕、章琦</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8</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以本为本、多元融合的一流本科课程《眼科学》建设</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第一临床医学院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沈晔</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童剑萍、王夏蔚、郦惠燕、孙远</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9</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新媒体时代下的医学影像学多元化高效教学模式模式</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第二临床医学院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张敏鸣</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沈可人、李宏、王丽华、王启苑</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10</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基于数字技术融合的TBL外科教学课程体系探索与实践</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第二临床医学院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王伟林</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叶松，陈开波，陈健，蔡浩雷</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11</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即时反馈型客观结构化临床教考模式对提高实习生自信的实证研究</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第三临床医学院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虞洪</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骆鹏、杨瑾、沈吉良、章晓晨</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12</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以需求为导向，以学生为中心的《妇产科学》虚拟仿真实验教学体系的建设与应用研究</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妇产科学院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张丹</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徐向荣、阮恒超、刘益枫、陈瑞雪</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13</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价值塑造、知识传授、能力培养三者融合的妇产科学一流课程建设</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妇产科学院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吕卫国</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徐向荣、吴瑞瑾、程晓东、詹宏</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14</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基于线上线下混合式教学的《儿科学》课程改革</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儿科学院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张园园</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陈志敏、求伟玲、舒强、陈青江</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本科生教育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lastRenderedPageBreak/>
              <w:t>15</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以岗位胜任力为导向的突发公共卫生事件应急教学体系的构建及探索</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第一临床医学院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康仙慧</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冯智英、耿武军、陈超琴、姚永兴</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研究生教育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16</w:t>
            </w:r>
          </w:p>
        </w:tc>
        <w:tc>
          <w:tcPr>
            <w:tcW w:w="340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“1+X”科教协同研究生培养体系的探索与实践</w:t>
            </w:r>
          </w:p>
        </w:tc>
        <w:tc>
          <w:tcPr>
            <w:tcW w:w="1276"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附属杭州市第一人民医院</w:t>
            </w:r>
          </w:p>
        </w:tc>
        <w:tc>
          <w:tcPr>
            <w:tcW w:w="1134"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徐骁</w:t>
            </w:r>
          </w:p>
        </w:tc>
        <w:tc>
          <w:tcPr>
            <w:tcW w:w="241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刘有恃、张方捷、卫强、汪恺</w:t>
            </w:r>
          </w:p>
        </w:tc>
        <w:tc>
          <w:tcPr>
            <w:tcW w:w="1271"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研究生教育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17</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委校合作构建高水平住院医师规范化培训体系的探索与实践</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阮恒超</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刘怡、陈艳、余美月、徐凌霄</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毕业后教育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18</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面向“大健康”，基于岗位胜任力的导航式多路径全科医师培养模式探索研究</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第一临床医学院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任菁菁</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刘颖，任文，邱艳，刘娟娟</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毕业后教育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19</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医教协同背景下临床教师培养体系的创新与实践</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第一临床医学院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陈韶华</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王权、胡春燕、姜玲玲、王伟斌</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毕业后教育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r w:rsidR="005C4E62" w:rsidRPr="004A52AA" w:rsidTr="00571CA1">
        <w:trPr>
          <w:trHeight w:val="840"/>
          <w:jc w:val="center"/>
        </w:trPr>
        <w:tc>
          <w:tcPr>
            <w:tcW w:w="56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20</w:t>
            </w:r>
          </w:p>
        </w:tc>
        <w:tc>
          <w:tcPr>
            <w:tcW w:w="3402"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“三个阳光”卓越住院医师培养体系构建及实施</w:t>
            </w:r>
          </w:p>
        </w:tc>
        <w:tc>
          <w:tcPr>
            <w:tcW w:w="1276"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第二临床医学院</w:t>
            </w:r>
          </w:p>
        </w:tc>
        <w:tc>
          <w:tcPr>
            <w:tcW w:w="1134"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王建安</w:t>
            </w:r>
          </w:p>
        </w:tc>
        <w:tc>
          <w:tcPr>
            <w:tcW w:w="2415"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王建安、谢小洁、钱安瑜、薛静</w:t>
            </w:r>
          </w:p>
        </w:tc>
        <w:tc>
          <w:tcPr>
            <w:tcW w:w="1271" w:type="dxa"/>
            <w:shd w:val="clear" w:color="auto" w:fill="auto"/>
            <w:vAlign w:val="center"/>
          </w:tcPr>
          <w:p w:rsidR="005C4E62" w:rsidRPr="001E535C" w:rsidRDefault="005C4E62" w:rsidP="00571CA1">
            <w:pPr>
              <w:jc w:val="center"/>
              <w:rPr>
                <w:rFonts w:ascii="宋体" w:eastAsia="宋体" w:hAnsi="宋体"/>
                <w:color w:val="000000"/>
                <w:szCs w:val="21"/>
              </w:rPr>
            </w:pPr>
            <w:r w:rsidRPr="001E535C">
              <w:rPr>
                <w:rFonts w:ascii="宋体" w:eastAsia="宋体" w:hAnsi="宋体" w:hint="eastAsia"/>
                <w:color w:val="000000"/>
                <w:szCs w:val="21"/>
              </w:rPr>
              <w:t>毕业后教育</w:t>
            </w:r>
          </w:p>
        </w:tc>
        <w:tc>
          <w:tcPr>
            <w:tcW w:w="1275" w:type="dxa"/>
            <w:shd w:val="clear" w:color="auto" w:fill="auto"/>
            <w:vAlign w:val="center"/>
          </w:tcPr>
          <w:p w:rsidR="005C4E62" w:rsidRPr="001E535C" w:rsidRDefault="005C4E62" w:rsidP="00571CA1">
            <w:pPr>
              <w:jc w:val="center"/>
              <w:rPr>
                <w:rFonts w:ascii="宋体" w:eastAsia="宋体" w:hAnsi="宋体"/>
                <w:szCs w:val="21"/>
              </w:rPr>
            </w:pPr>
            <w:r w:rsidRPr="001E535C">
              <w:rPr>
                <w:rFonts w:ascii="宋体" w:eastAsia="宋体" w:hAnsi="宋体" w:hint="eastAsia"/>
                <w:szCs w:val="21"/>
              </w:rPr>
              <w:t>一般项目</w:t>
            </w:r>
          </w:p>
        </w:tc>
      </w:tr>
    </w:tbl>
    <w:p w:rsidR="005C4E62" w:rsidRPr="009C2492" w:rsidRDefault="005C4E62" w:rsidP="005C4E62">
      <w:pPr>
        <w:jc w:val="center"/>
        <w:rPr>
          <w:rFonts w:ascii="宋体" w:eastAsia="宋体" w:hAnsi="宋体"/>
          <w:sz w:val="28"/>
        </w:rPr>
      </w:pPr>
    </w:p>
    <w:p w:rsidR="00EB4FAE" w:rsidRDefault="00A663C8">
      <w:bookmarkStart w:id="0" w:name="_GoBack"/>
      <w:bookmarkEnd w:id="0"/>
    </w:p>
    <w:sectPr w:rsidR="00EB4FAE" w:rsidSect="008E6A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C8" w:rsidRDefault="00A663C8" w:rsidP="005C4E62">
      <w:r>
        <w:separator/>
      </w:r>
    </w:p>
  </w:endnote>
  <w:endnote w:type="continuationSeparator" w:id="0">
    <w:p w:rsidR="00A663C8" w:rsidRDefault="00A663C8" w:rsidP="005C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C8" w:rsidRDefault="00A663C8" w:rsidP="005C4E62">
      <w:r>
        <w:separator/>
      </w:r>
    </w:p>
  </w:footnote>
  <w:footnote w:type="continuationSeparator" w:id="0">
    <w:p w:rsidR="00A663C8" w:rsidRDefault="00A663C8" w:rsidP="005C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59"/>
    <w:rsid w:val="00294F59"/>
    <w:rsid w:val="005C4E62"/>
    <w:rsid w:val="00856F03"/>
    <w:rsid w:val="00A663C8"/>
    <w:rsid w:val="00D7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95268-4922-4454-89DF-254CEA5C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4E62"/>
    <w:rPr>
      <w:sz w:val="18"/>
      <w:szCs w:val="18"/>
    </w:rPr>
  </w:style>
  <w:style w:type="paragraph" w:styleId="a5">
    <w:name w:val="footer"/>
    <w:basedOn w:val="a"/>
    <w:link w:val="a6"/>
    <w:uiPriority w:val="99"/>
    <w:unhideWhenUsed/>
    <w:rsid w:val="005C4E62"/>
    <w:pPr>
      <w:tabs>
        <w:tab w:val="center" w:pos="4153"/>
        <w:tab w:val="right" w:pos="8306"/>
      </w:tabs>
      <w:snapToGrid w:val="0"/>
      <w:jc w:val="left"/>
    </w:pPr>
    <w:rPr>
      <w:sz w:val="18"/>
      <w:szCs w:val="18"/>
    </w:rPr>
  </w:style>
  <w:style w:type="character" w:customStyle="1" w:styleId="a6">
    <w:name w:val="页脚 字符"/>
    <w:basedOn w:val="a0"/>
    <w:link w:val="a5"/>
    <w:uiPriority w:val="99"/>
    <w:rsid w:val="005C4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XSQ</dc:creator>
  <cp:keywords/>
  <dc:description/>
  <cp:lastModifiedBy>XSQ</cp:lastModifiedBy>
  <cp:revision>2</cp:revision>
  <dcterms:created xsi:type="dcterms:W3CDTF">2022-01-14T09:27:00Z</dcterms:created>
  <dcterms:modified xsi:type="dcterms:W3CDTF">2022-01-14T09:27:00Z</dcterms:modified>
</cp:coreProperties>
</file>